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hanging="900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LEARNING TOGETHER, ACHIEVING TOGETHER</w:t>
      </w:r>
    </w:p>
    <w:tbl>
      <w:tblPr>
        <w:tblStyle w:val="Table1"/>
        <w:tblpPr w:leftFromText="180" w:rightFromText="180" w:topFromText="180" w:bottomFromText="180" w:vertAnchor="text" w:horzAnchor="text" w:tblpX="-1050" w:tblpY="0"/>
        <w:tblW w:w="1129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780"/>
        <w:gridCol w:w="2995.0000000000005"/>
        <w:gridCol w:w="2925"/>
        <w:gridCol w:w="2595"/>
        <w:tblGridChange w:id="0">
          <w:tblGrid>
            <w:gridCol w:w="2780"/>
            <w:gridCol w:w="2995.0000000000005"/>
            <w:gridCol w:w="2925"/>
            <w:gridCol w:w="25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4"/>
            <w:shd w:fill="f4cccc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Durand Primary School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Development Priorities 2025-2026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 further develop learning experiences and environments to provide appropriate challenge, developing independence and creativity.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 develop metacognitive strategies, foster creative learning habits, and establish a shared language of learning across the school, enabling all learners to reflect meaningfully on how they learn and the progress they make.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Continue to develop a curriculum that provides an authentic, cohesive and systematic approach to the development of pupils’ skills over time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Further improve attendance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 and deliver purposeful, challenging learning experiences that develop pupils’ independence and creativity, underpinned by high expectations for all learners.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373a3c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refine the use of observation </w:t>
            </w:r>
            <w:r w:rsidDel="00000000" w:rsidR="00000000" w:rsidRPr="00000000">
              <w:rPr>
                <w:color w:val="373a3c"/>
                <w:sz w:val="16"/>
                <w:szCs w:val="16"/>
                <w:rtl w:val="0"/>
              </w:rPr>
              <w:t xml:space="preserve"> and formative assessment to inform responsive teaching, ensuring appropriate and progressive challenge for all learners, including more able pupils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373a3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ensure outdoors is a high quality purposeful environment for all learners.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 classroom and shared learning environments to ensure they support independent and creative learning.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provide frequent and extended opportunities for pupils to practise, embed and transfer taught skills in a wide range of contexts.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 and adapt planning to include more open-ended tasks and cross-curricular links that promote creativity.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Involve pupils in the co-construction of learning activities and gather regular feedback to inform planning.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373a3c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373a3c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widowControl w:val="0"/>
              <w:spacing w:before="0" w:line="240" w:lineRule="auto"/>
              <w:rPr>
                <w:color w:val="000000"/>
                <w:sz w:val="16"/>
                <w:szCs w:val="16"/>
              </w:rPr>
            </w:pPr>
            <w:bookmarkStart w:colFirst="0" w:colLast="0" w:name="_mfkuxoujocwv" w:id="0"/>
            <w:bookmarkEnd w:id="0"/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Establish a Collaborative Learning Network Focused on Metacognition and Creativity.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240"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 a shared inquiry question or focus for professional learning (e.g. "How can we improve pupils’ ability to talk about their learning and strategies?").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before="280" w:lineRule="auto"/>
              <w:rPr>
                <w:b w:val="1"/>
                <w:color w:val="000000"/>
                <w:sz w:val="16"/>
                <w:szCs w:val="16"/>
              </w:rPr>
            </w:pPr>
            <w:bookmarkStart w:colFirst="0" w:colLast="0" w:name="_2qfq5lvp1tzi" w:id="1"/>
            <w:bookmarkEnd w:id="1"/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Engage with Current Research and Theories of Learning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high-quality educational research to inform practice (e.g. Education Endowment Foundation (EEF) Guidance Report on Metacognition, work by Guy Claxton, Carol Dweck, James Nottingham).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Shared whole school text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Staff to engage in professional reading groups or journal clubs, discussing implications for classroom practice.</w:t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Rule="auto"/>
              <w:rPr>
                <w:b w:val="1"/>
                <w:color w:val="000000"/>
                <w:sz w:val="16"/>
                <w:szCs w:val="16"/>
              </w:rPr>
            </w:pPr>
            <w:bookmarkStart w:colFirst="0" w:colLast="0" w:name="_jfqfbgkkn1mz" w:id="2"/>
            <w:bookmarkEnd w:id="2"/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Develop and Embed a Shared Language of Learning</w:t>
            </w:r>
          </w:p>
          <w:p w:rsidR="00000000" w:rsidDel="00000000" w:rsidP="00000000" w:rsidRDefault="00000000" w:rsidRPr="00000000" w14:paraId="00000022">
            <w:pPr>
              <w:spacing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Staff collaborate to create a consistent, age-appropriate set of learning behaviours and vocabulary that is progressive across the school.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supported to use learning language through sentence stems, scaffolds, and reflection tools.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Collaborative Lesson Design and Peer Observation</w:t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before="280" w:line="240" w:lineRule="auto"/>
              <w:rPr>
                <w:sz w:val="16"/>
                <w:szCs w:val="16"/>
              </w:rPr>
            </w:pPr>
            <w:bookmarkStart w:colFirst="0" w:colLast="0" w:name="_jxtumsr16u1b" w:id="3"/>
            <w:bookmarkEnd w:id="3"/>
            <w:r w:rsidDel="00000000" w:rsidR="00000000" w:rsidRPr="00000000">
              <w:rPr>
                <w:sz w:val="16"/>
                <w:szCs w:val="16"/>
                <w:rtl w:val="0"/>
              </w:rPr>
              <w:t xml:space="preserve">Plan and co-deliver lessons in pairs or triads that explicitly teach and model metacognitive strategies.</w:t>
            </w:r>
          </w:p>
          <w:p w:rsidR="00000000" w:rsidDel="00000000" w:rsidP="00000000" w:rsidRDefault="00000000" w:rsidRPr="00000000" w14:paraId="00000026">
            <w:pPr>
              <w:spacing w:before="240" w:line="240" w:lineRule="auto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Pupil and Parent Involvement</w:t>
            </w:r>
          </w:p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Engage pupils in regular learning conversations and self-assessment activities.</w:t>
            </w:r>
          </w:p>
          <w:p w:rsidR="00000000" w:rsidDel="00000000" w:rsidP="00000000" w:rsidRDefault="00000000" w:rsidRPr="00000000" w14:paraId="00000028">
            <w:pPr>
              <w:spacing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Involve parents through newsletters/workshops to reinforce metacognitive and creative habits at home.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6051"/>
              </w:tabs>
              <w:spacing w:line="240" w:lineRule="auto"/>
              <w:rPr>
                <w:sz w:val="16"/>
                <w:szCs w:val="16"/>
              </w:rPr>
            </w:pPr>
            <w:bookmarkStart w:colFirst="0" w:colLast="0" w:name="_3oijt3dajuwu" w:id="4"/>
            <w:bookmarkEnd w:id="4"/>
            <w:r w:rsidDel="00000000" w:rsidR="00000000" w:rsidRPr="00000000">
              <w:rPr>
                <w:sz w:val="16"/>
                <w:szCs w:val="16"/>
                <w:rtl w:val="0"/>
              </w:rPr>
              <w:t xml:space="preserve">Embed skill progression into all medium-term planning using agreed school templates that highlight skill focus and intended progression.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051"/>
              </w:tabs>
              <w:spacing w:line="240" w:lineRule="auto"/>
              <w:rPr>
                <w:sz w:val="16"/>
                <w:szCs w:val="16"/>
              </w:rPr>
            </w:pPr>
            <w:bookmarkStart w:colFirst="0" w:colLast="0" w:name="_eiijoawvhpu2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051"/>
              </w:tabs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Further develop our Durand Primary Teaching Toolkit to incorporate maths and digital core skills for all and progressive skills across year groups.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051"/>
              </w:tabs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Continue to improve our systematic teaching of spelling and handwriting across the school.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 consistency and progression of skills in computational thinking.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Continue to decrease the FSM to non-FSM attendance difference.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 a clear process in response to recording U codes for late absence.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bookmarkStart w:colFirst="0" w:colLast="0" w:name="_3oijt3dajuwu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Achieve increased attendance target of 94%.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bookmarkStart w:colFirst="0" w:colLast="0" w:name="_x2jwoofw7k7f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051"/>
              </w:tabs>
              <w:spacing w:line="240" w:lineRule="auto"/>
              <w:rPr>
                <w:sz w:val="18"/>
                <w:szCs w:val="18"/>
              </w:rPr>
            </w:pPr>
            <w:bookmarkStart w:colFirst="0" w:colLast="0" w:name="_3oijt3dajuwu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Reduce number of persistent absentees (under 90% attendance).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0" w:top="270" w:left="1440" w:right="1440" w:header="720" w:footer="15.000000000003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